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1C552" w14:textId="77777777" w:rsidR="00F17C3B" w:rsidRPr="001B1427" w:rsidRDefault="00F17C3B" w:rsidP="00F17C3B">
      <w:pPr>
        <w:pStyle w:val="NormalWeb"/>
        <w:spacing w:before="0" w:beforeAutospacing="0" w:after="150" w:afterAutospacing="0"/>
        <w:jc w:val="both"/>
        <w:rPr>
          <w:rFonts w:ascii="Century Gothic" w:hAnsi="Century Gothic" w:cs="Open Sans"/>
          <w:b/>
          <w:bCs/>
          <w:color w:val="00B050"/>
          <w:sz w:val="21"/>
          <w:szCs w:val="21"/>
          <w:u w:val="single"/>
        </w:rPr>
      </w:pPr>
      <w:r w:rsidRPr="001B1427">
        <w:rPr>
          <w:rFonts w:ascii="Century Gothic" w:hAnsi="Century Gothic" w:cs="Open Sans"/>
          <w:b/>
          <w:bCs/>
          <w:color w:val="00B050"/>
          <w:sz w:val="21"/>
          <w:szCs w:val="21"/>
          <w:u w:val="single"/>
        </w:rPr>
        <w:t>Early Years Pupil Premium</w:t>
      </w:r>
    </w:p>
    <w:p w14:paraId="036B9C35" w14:textId="77777777" w:rsidR="00F17C3B" w:rsidRPr="00145253" w:rsidRDefault="00F17C3B" w:rsidP="00F17C3B">
      <w:pPr>
        <w:pStyle w:val="NormalWeb"/>
        <w:spacing w:before="0" w:beforeAutospacing="0" w:after="150" w:afterAutospacing="0"/>
        <w:jc w:val="both"/>
        <w:rPr>
          <w:rFonts w:ascii="Century Gothic" w:hAnsi="Century Gothic" w:cs="Open Sans"/>
          <w:color w:val="333333"/>
          <w:sz w:val="21"/>
          <w:szCs w:val="21"/>
        </w:rPr>
      </w:pPr>
      <w:r w:rsidRPr="00145253">
        <w:rPr>
          <w:rFonts w:ascii="Century Gothic" w:hAnsi="Century Gothic" w:cs="Open Sans"/>
          <w:color w:val="333333"/>
          <w:sz w:val="21"/>
          <w:szCs w:val="21"/>
        </w:rPr>
        <w:t>Since April 2015, nurseries, schools, childminders and other childcare providers have been able to claim extra funding through the Early Years Pupil Premium to support children’s development, learning and care.</w:t>
      </w:r>
    </w:p>
    <w:p w14:paraId="52544052" w14:textId="77777777" w:rsidR="00F17C3B" w:rsidRPr="00145253" w:rsidRDefault="00F17C3B" w:rsidP="00F17C3B">
      <w:pPr>
        <w:pStyle w:val="NormalWeb"/>
        <w:spacing w:before="0" w:beforeAutospacing="0" w:after="150" w:afterAutospacing="0"/>
        <w:jc w:val="both"/>
        <w:rPr>
          <w:rFonts w:ascii="Century Gothic" w:hAnsi="Century Gothic" w:cs="Open Sans"/>
          <w:color w:val="333333"/>
          <w:sz w:val="21"/>
          <w:szCs w:val="21"/>
        </w:rPr>
      </w:pPr>
      <w:r w:rsidRPr="00145253">
        <w:rPr>
          <w:rFonts w:ascii="Century Gothic" w:hAnsi="Century Gothic" w:cs="Open Sans"/>
          <w:color w:val="333333"/>
          <w:sz w:val="21"/>
          <w:szCs w:val="21"/>
        </w:rPr>
        <w:t>National data research tells that children eligible for free school meals tend to do less well, than other children. The Early Years Pupil Premium is to provide us with extra funding to close this gap.</w:t>
      </w:r>
    </w:p>
    <w:p w14:paraId="053463EF" w14:textId="409FDE10" w:rsidR="00F17C3B" w:rsidRPr="00145253" w:rsidRDefault="00F17C3B" w:rsidP="00F17C3B">
      <w:pPr>
        <w:pStyle w:val="NormalWeb"/>
        <w:spacing w:before="0" w:beforeAutospacing="0" w:after="150" w:afterAutospacing="0"/>
        <w:jc w:val="both"/>
        <w:rPr>
          <w:rFonts w:ascii="Century Gothic" w:hAnsi="Century Gothic" w:cs="Open Sans"/>
          <w:color w:val="333333"/>
          <w:sz w:val="21"/>
          <w:szCs w:val="21"/>
        </w:rPr>
      </w:pPr>
      <w:r w:rsidRPr="00145253">
        <w:rPr>
          <w:rFonts w:ascii="Century Gothic" w:hAnsi="Century Gothic" w:cs="Open Sans"/>
          <w:color w:val="333333"/>
          <w:sz w:val="21"/>
          <w:szCs w:val="21"/>
        </w:rPr>
        <w:t xml:space="preserve">The Early Years Pupil Premium provides an extra </w:t>
      </w:r>
      <w:r w:rsidRPr="00145253">
        <w:rPr>
          <w:rFonts w:ascii="Century Gothic" w:hAnsi="Century Gothic" w:cs="Open Sans"/>
          <w:color w:val="333333"/>
          <w:sz w:val="21"/>
          <w:szCs w:val="21"/>
        </w:rPr>
        <w:t>6</w:t>
      </w:r>
      <w:r w:rsidR="00086E10" w:rsidRPr="00145253">
        <w:rPr>
          <w:rFonts w:ascii="Century Gothic" w:hAnsi="Century Gothic" w:cs="Open Sans"/>
          <w:color w:val="333333"/>
          <w:sz w:val="21"/>
          <w:szCs w:val="21"/>
        </w:rPr>
        <w:t>6</w:t>
      </w:r>
      <w:r w:rsidRPr="00145253">
        <w:rPr>
          <w:rFonts w:ascii="Century Gothic" w:hAnsi="Century Gothic" w:cs="Open Sans"/>
          <w:color w:val="333333"/>
          <w:sz w:val="21"/>
          <w:szCs w:val="21"/>
        </w:rPr>
        <w:t xml:space="preserve"> pence per hour </w:t>
      </w:r>
      <w:r w:rsidR="00086E10" w:rsidRPr="00145253">
        <w:rPr>
          <w:rFonts w:ascii="Century Gothic" w:hAnsi="Century Gothic" w:cs="Open Sans"/>
          <w:color w:val="333333"/>
          <w:sz w:val="21"/>
          <w:szCs w:val="21"/>
        </w:rPr>
        <w:t xml:space="preserve">(Sept 2023)  </w:t>
      </w:r>
      <w:r w:rsidRPr="00145253">
        <w:rPr>
          <w:rFonts w:ascii="Century Gothic" w:hAnsi="Century Gothic" w:cs="Open Sans"/>
          <w:color w:val="333333"/>
          <w:sz w:val="21"/>
          <w:szCs w:val="21"/>
        </w:rPr>
        <w:t xml:space="preserve">for three and four year old children </w:t>
      </w:r>
      <w:r w:rsidR="00086E10" w:rsidRPr="00145253">
        <w:rPr>
          <w:rFonts w:ascii="Century Gothic" w:hAnsi="Century Gothic" w:cs="Open Sans"/>
          <w:color w:val="333333"/>
          <w:sz w:val="21"/>
          <w:szCs w:val="21"/>
        </w:rPr>
        <w:t>and those on two year entitlement funding</w:t>
      </w:r>
      <w:r w:rsidRPr="00145253">
        <w:rPr>
          <w:rFonts w:ascii="Century Gothic" w:hAnsi="Century Gothic" w:cs="Open Sans"/>
          <w:color w:val="333333"/>
          <w:sz w:val="21"/>
          <w:szCs w:val="21"/>
        </w:rPr>
        <w:t>.</w:t>
      </w:r>
      <w:r w:rsidR="00086E10" w:rsidRPr="00145253">
        <w:rPr>
          <w:rFonts w:ascii="Century Gothic" w:hAnsi="Century Gothic" w:cs="Open Sans"/>
          <w:color w:val="333333"/>
          <w:sz w:val="21"/>
          <w:szCs w:val="21"/>
        </w:rPr>
        <w:t xml:space="preserve"> </w:t>
      </w:r>
      <w:r w:rsidR="005A78DE" w:rsidRPr="00145253">
        <w:rPr>
          <w:rFonts w:ascii="Century Gothic" w:hAnsi="Century Gothic" w:cs="Open Sans"/>
          <w:color w:val="333333"/>
          <w:sz w:val="21"/>
          <w:szCs w:val="21"/>
        </w:rPr>
        <w:t>(</w:t>
      </w:r>
      <w:r w:rsidR="00086E10" w:rsidRPr="00145253">
        <w:rPr>
          <w:rFonts w:ascii="Century Gothic" w:hAnsi="Century Gothic" w:cs="Open Sans"/>
          <w:color w:val="333333"/>
          <w:sz w:val="21"/>
          <w:szCs w:val="21"/>
        </w:rPr>
        <w:t xml:space="preserve">This rises to </w:t>
      </w:r>
      <w:r w:rsidR="00F74ADC" w:rsidRPr="00145253">
        <w:rPr>
          <w:rFonts w:ascii="Century Gothic" w:hAnsi="Century Gothic" w:cs="Open Sans"/>
          <w:color w:val="333333"/>
          <w:sz w:val="21"/>
          <w:szCs w:val="21"/>
        </w:rPr>
        <w:t xml:space="preserve">68 pence </w:t>
      </w:r>
      <w:r w:rsidR="005A78DE" w:rsidRPr="00145253">
        <w:rPr>
          <w:rFonts w:ascii="Century Gothic" w:hAnsi="Century Gothic" w:cs="Open Sans"/>
          <w:color w:val="333333"/>
          <w:sz w:val="21"/>
          <w:szCs w:val="21"/>
        </w:rPr>
        <w:t xml:space="preserve"> for </w:t>
      </w:r>
      <w:r w:rsidR="00F74ADC" w:rsidRPr="00145253">
        <w:rPr>
          <w:rFonts w:ascii="Century Gothic" w:hAnsi="Century Gothic" w:cs="Open Sans"/>
          <w:color w:val="333333"/>
          <w:sz w:val="21"/>
          <w:szCs w:val="21"/>
        </w:rPr>
        <w:t xml:space="preserve">April 2024). </w:t>
      </w:r>
      <w:r w:rsidRPr="00145253">
        <w:rPr>
          <w:rFonts w:ascii="Century Gothic" w:hAnsi="Century Gothic" w:cs="Open Sans"/>
          <w:color w:val="333333"/>
          <w:sz w:val="21"/>
          <w:szCs w:val="21"/>
        </w:rPr>
        <w:t xml:space="preserve"> This </w:t>
      </w:r>
      <w:r w:rsidR="00F74ADC" w:rsidRPr="00145253">
        <w:rPr>
          <w:rFonts w:ascii="Century Gothic" w:hAnsi="Century Gothic" w:cs="Open Sans"/>
          <w:color w:val="333333"/>
          <w:sz w:val="21"/>
          <w:szCs w:val="21"/>
        </w:rPr>
        <w:t xml:space="preserve">now </w:t>
      </w:r>
      <w:r w:rsidRPr="00145253">
        <w:rPr>
          <w:rFonts w:ascii="Century Gothic" w:hAnsi="Century Gothic" w:cs="Open Sans"/>
          <w:color w:val="333333"/>
          <w:sz w:val="21"/>
          <w:szCs w:val="21"/>
        </w:rPr>
        <w:t>means an extra £3</w:t>
      </w:r>
      <w:r w:rsidR="005A78DE" w:rsidRPr="00145253">
        <w:rPr>
          <w:rFonts w:ascii="Century Gothic" w:hAnsi="Century Gothic" w:cs="Open Sans"/>
          <w:color w:val="333333"/>
          <w:sz w:val="21"/>
          <w:szCs w:val="21"/>
        </w:rPr>
        <w:t>76</w:t>
      </w:r>
      <w:r w:rsidRPr="00145253">
        <w:rPr>
          <w:rFonts w:ascii="Century Gothic" w:hAnsi="Century Gothic" w:cs="Open Sans"/>
          <w:color w:val="333333"/>
          <w:sz w:val="21"/>
          <w:szCs w:val="21"/>
        </w:rPr>
        <w:t xml:space="preserve"> a year</w:t>
      </w:r>
      <w:r w:rsidR="005A78DE" w:rsidRPr="00145253">
        <w:rPr>
          <w:rFonts w:ascii="Century Gothic" w:hAnsi="Century Gothic" w:cs="Open Sans"/>
          <w:color w:val="333333"/>
          <w:sz w:val="21"/>
          <w:szCs w:val="21"/>
        </w:rPr>
        <w:t xml:space="preserve"> (rising to £387 from April 24)</w:t>
      </w:r>
      <w:r w:rsidRPr="00145253">
        <w:rPr>
          <w:rFonts w:ascii="Century Gothic" w:hAnsi="Century Gothic" w:cs="Open Sans"/>
          <w:color w:val="333333"/>
          <w:sz w:val="21"/>
          <w:szCs w:val="21"/>
        </w:rPr>
        <w:t xml:space="preserve"> for each child taking up the full 570 hours funded entitlement</w:t>
      </w:r>
      <w:r w:rsidRPr="00145253">
        <w:rPr>
          <w:rFonts w:ascii="Century Gothic" w:hAnsi="Century Gothic" w:cs="Open Sans"/>
          <w:color w:val="333333"/>
          <w:sz w:val="21"/>
          <w:szCs w:val="21"/>
        </w:rPr>
        <w:t xml:space="preserve"> (15 hours per week) </w:t>
      </w:r>
      <w:r w:rsidRPr="00145253">
        <w:rPr>
          <w:rFonts w:ascii="Century Gothic" w:hAnsi="Century Gothic" w:cs="Open Sans"/>
          <w:color w:val="333333"/>
          <w:sz w:val="21"/>
          <w:szCs w:val="21"/>
        </w:rPr>
        <w:t xml:space="preserve"> to early education. This additional money makes a significant difference to us.</w:t>
      </w:r>
    </w:p>
    <w:p w14:paraId="77C43080" w14:textId="13720E0B" w:rsidR="00616AE4" w:rsidRPr="00145253" w:rsidRDefault="00F17C3B" w:rsidP="00D7237F">
      <w:pPr>
        <w:pStyle w:val="NormalWeb"/>
        <w:spacing w:before="0" w:beforeAutospacing="0" w:after="150" w:afterAutospacing="0"/>
        <w:jc w:val="both"/>
        <w:rPr>
          <w:rFonts w:ascii="Century Gothic" w:hAnsi="Century Gothic" w:cs="Open Sans"/>
          <w:color w:val="333333"/>
          <w:sz w:val="21"/>
          <w:szCs w:val="21"/>
        </w:rPr>
      </w:pPr>
      <w:r w:rsidRPr="00145253">
        <w:rPr>
          <w:rFonts w:ascii="Century Gothic" w:hAnsi="Century Gothic" w:cs="Open Sans"/>
          <w:color w:val="333333"/>
          <w:sz w:val="21"/>
          <w:szCs w:val="21"/>
        </w:rPr>
        <w:t xml:space="preserve">We can use the extra funding in any way we choose to improve the quality of the early years education that we provide for your child. This year we have noticed </w:t>
      </w:r>
      <w:r w:rsidR="00616AE4" w:rsidRPr="00145253">
        <w:rPr>
          <w:rFonts w:ascii="Century Gothic" w:hAnsi="Century Gothic" w:cs="Open Sans"/>
          <w:color w:val="333333"/>
          <w:sz w:val="21"/>
          <w:szCs w:val="21"/>
        </w:rPr>
        <w:t>the following areas for development:</w:t>
      </w:r>
    </w:p>
    <w:p w14:paraId="6E44385D" w14:textId="77777777" w:rsidR="00616AE4" w:rsidRPr="00145253" w:rsidRDefault="00616AE4" w:rsidP="001B1427">
      <w:pPr>
        <w:pStyle w:val="NormalWeb"/>
        <w:numPr>
          <w:ilvl w:val="0"/>
          <w:numId w:val="1"/>
        </w:numPr>
        <w:spacing w:before="0" w:beforeAutospacing="0" w:after="150" w:afterAutospacing="0"/>
        <w:jc w:val="both"/>
        <w:rPr>
          <w:rFonts w:ascii="Century Gothic" w:hAnsi="Century Gothic" w:cs="Open Sans"/>
          <w:color w:val="333333"/>
          <w:sz w:val="21"/>
          <w:szCs w:val="21"/>
        </w:rPr>
      </w:pPr>
      <w:r w:rsidRPr="00145253">
        <w:rPr>
          <w:rFonts w:ascii="Century Gothic" w:hAnsi="Century Gothic" w:cs="Open Sans"/>
          <w:color w:val="333333"/>
          <w:sz w:val="21"/>
          <w:szCs w:val="21"/>
        </w:rPr>
        <w:t>M</w:t>
      </w:r>
      <w:r w:rsidR="00F17C3B" w:rsidRPr="00145253">
        <w:rPr>
          <w:rFonts w:ascii="Century Gothic" w:hAnsi="Century Gothic" w:cs="Open Sans"/>
          <w:color w:val="333333"/>
          <w:sz w:val="21"/>
          <w:szCs w:val="21"/>
        </w:rPr>
        <w:t xml:space="preserve">any children have speech and language difficulties, so we will spend some of the EYPP funding to support and further develop children's language. </w:t>
      </w:r>
    </w:p>
    <w:p w14:paraId="2C7D2550" w14:textId="77777777" w:rsidR="00616AE4" w:rsidRPr="00145253" w:rsidRDefault="00F17C3B" w:rsidP="001B1427">
      <w:pPr>
        <w:pStyle w:val="NormalWeb"/>
        <w:numPr>
          <w:ilvl w:val="0"/>
          <w:numId w:val="1"/>
        </w:numPr>
        <w:spacing w:before="0" w:beforeAutospacing="0" w:after="150" w:afterAutospacing="0"/>
        <w:jc w:val="both"/>
        <w:rPr>
          <w:rFonts w:ascii="Century Gothic" w:hAnsi="Century Gothic" w:cs="Open Sans"/>
          <w:color w:val="333333"/>
          <w:sz w:val="21"/>
          <w:szCs w:val="21"/>
        </w:rPr>
      </w:pPr>
      <w:r w:rsidRPr="00145253">
        <w:rPr>
          <w:rFonts w:ascii="Century Gothic" w:hAnsi="Century Gothic" w:cs="Open Sans"/>
          <w:color w:val="333333"/>
          <w:sz w:val="21"/>
          <w:szCs w:val="21"/>
        </w:rPr>
        <w:t xml:space="preserve">We are focusing on early maths for our 3-4 year olds, where there are gaps in their knowledge of number. </w:t>
      </w:r>
    </w:p>
    <w:p w14:paraId="0BC6918F" w14:textId="77777777" w:rsidR="00616AE4" w:rsidRPr="00145253" w:rsidRDefault="00F17C3B" w:rsidP="001B1427">
      <w:pPr>
        <w:pStyle w:val="NormalWeb"/>
        <w:numPr>
          <w:ilvl w:val="0"/>
          <w:numId w:val="1"/>
        </w:numPr>
        <w:spacing w:before="0" w:beforeAutospacing="0" w:after="150" w:afterAutospacing="0"/>
        <w:jc w:val="both"/>
        <w:rPr>
          <w:rFonts w:ascii="Century Gothic" w:hAnsi="Century Gothic" w:cs="Open Sans"/>
          <w:color w:val="333333"/>
          <w:sz w:val="21"/>
          <w:szCs w:val="21"/>
        </w:rPr>
      </w:pPr>
      <w:r w:rsidRPr="00145253">
        <w:rPr>
          <w:rFonts w:ascii="Century Gothic" w:hAnsi="Century Gothic" w:cs="Open Sans"/>
          <w:color w:val="333333"/>
          <w:sz w:val="21"/>
          <w:szCs w:val="21"/>
        </w:rPr>
        <w:t>We have also noticed that some of our children miss opportunities to take part in physical activities, particularly outdoors, so this is another area that we want to develop</w:t>
      </w:r>
      <w:r w:rsidRPr="00145253">
        <w:rPr>
          <w:rFonts w:ascii="Century Gothic" w:hAnsi="Century Gothic" w:cs="Open Sans"/>
          <w:color w:val="333333"/>
          <w:sz w:val="21"/>
          <w:szCs w:val="21"/>
        </w:rPr>
        <w:t xml:space="preserve">, and which our large garden enables so well. </w:t>
      </w:r>
    </w:p>
    <w:p w14:paraId="45EA68A5" w14:textId="580D280E" w:rsidR="00F17C3B" w:rsidRPr="00145253" w:rsidRDefault="00F17C3B" w:rsidP="001B1427">
      <w:pPr>
        <w:pStyle w:val="NormalWeb"/>
        <w:numPr>
          <w:ilvl w:val="0"/>
          <w:numId w:val="1"/>
        </w:numPr>
        <w:spacing w:before="0" w:beforeAutospacing="0" w:after="150" w:afterAutospacing="0"/>
        <w:jc w:val="both"/>
        <w:rPr>
          <w:rFonts w:ascii="Century Gothic" w:hAnsi="Century Gothic" w:cs="Open Sans"/>
          <w:color w:val="333333"/>
          <w:sz w:val="21"/>
          <w:szCs w:val="21"/>
        </w:rPr>
      </w:pPr>
      <w:r w:rsidRPr="00145253">
        <w:rPr>
          <w:rFonts w:ascii="Century Gothic" w:hAnsi="Century Gothic" w:cs="Open Sans"/>
          <w:color w:val="333333"/>
          <w:sz w:val="21"/>
          <w:szCs w:val="21"/>
        </w:rPr>
        <w:t>Other things we are using our EYPP money for is building relationships and engagement with parents and improving attendance</w:t>
      </w:r>
      <w:r w:rsidRPr="00145253">
        <w:rPr>
          <w:rFonts w:ascii="Century Gothic" w:hAnsi="Century Gothic" w:cs="Open Sans"/>
          <w:color w:val="333333"/>
          <w:sz w:val="21"/>
          <w:szCs w:val="21"/>
        </w:rPr>
        <w:t>.</w:t>
      </w:r>
    </w:p>
    <w:p w14:paraId="4CBD4AD9" w14:textId="77777777" w:rsidR="00F17C3B" w:rsidRPr="00145253" w:rsidRDefault="00F17C3B" w:rsidP="00F17C3B">
      <w:pPr>
        <w:pStyle w:val="NormalWeb"/>
        <w:spacing w:before="0" w:beforeAutospacing="0" w:after="150" w:afterAutospacing="0"/>
        <w:jc w:val="both"/>
        <w:rPr>
          <w:rFonts w:ascii="Century Gothic" w:hAnsi="Century Gothic" w:cs="Open Sans"/>
          <w:color w:val="333333"/>
          <w:sz w:val="21"/>
          <w:szCs w:val="21"/>
        </w:rPr>
      </w:pPr>
      <w:r w:rsidRPr="00145253">
        <w:rPr>
          <w:rFonts w:ascii="Century Gothic" w:hAnsi="Century Gothic" w:cs="Open Sans"/>
          <w:color w:val="333333"/>
          <w:sz w:val="21"/>
          <w:szCs w:val="21"/>
        </w:rPr>
        <w:t>It is well documented that high quality early education can influence how well a child does at both primary and secondary school so we do want to make the most of this additional funding. You may be aware if you have older children that a pupil premium has been available in school age children and it has proved to have given a real boost to the children receiving the funding. We want to do the same for our early years children entitled to this funding.</w:t>
      </w:r>
    </w:p>
    <w:p w14:paraId="748A1A02" w14:textId="14302422" w:rsidR="0070448A" w:rsidRPr="00145253" w:rsidRDefault="00F17C3B" w:rsidP="0070448A">
      <w:pPr>
        <w:pStyle w:val="NormalWeb"/>
        <w:spacing w:before="0" w:beforeAutospacing="0" w:after="150" w:afterAutospacing="0"/>
        <w:jc w:val="both"/>
        <w:rPr>
          <w:rFonts w:ascii="Century Gothic" w:hAnsi="Century Gothic" w:cs="Open Sans"/>
          <w:color w:val="333333"/>
          <w:sz w:val="21"/>
          <w:szCs w:val="21"/>
        </w:rPr>
      </w:pPr>
      <w:r w:rsidRPr="00145253">
        <w:rPr>
          <w:rFonts w:ascii="Century Gothic" w:hAnsi="Century Gothic" w:cs="Open Sans"/>
          <w:color w:val="333333"/>
          <w:sz w:val="21"/>
          <w:szCs w:val="21"/>
        </w:rPr>
        <w:t>A return is submitted to the local authority for eligibility to be checked, we receive the results approximately a month following submission. This enables us to confirm the children within the setting who are eligible.</w:t>
      </w:r>
    </w:p>
    <w:p w14:paraId="7516321D" w14:textId="02598A5C" w:rsidR="00F74ADC" w:rsidRPr="00145253" w:rsidRDefault="00F74ADC" w:rsidP="005A78DE">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The number of children eligible varies each term, according to movement within the nursery, transitioning out and transitioning in. </w:t>
      </w:r>
      <w:r w:rsidR="00616AE4" w:rsidRPr="00145253">
        <w:rPr>
          <w:rFonts w:ascii="Century Gothic" w:hAnsi="Century Gothic"/>
          <w:sz w:val="21"/>
          <w:szCs w:val="21"/>
        </w:rPr>
        <w:t xml:space="preserve">This academic year, from </w:t>
      </w:r>
      <w:r w:rsidR="005A78DE" w:rsidRPr="00145253">
        <w:rPr>
          <w:rFonts w:ascii="Century Gothic" w:hAnsi="Century Gothic"/>
          <w:sz w:val="21"/>
          <w:szCs w:val="21"/>
        </w:rPr>
        <w:t>September</w:t>
      </w:r>
      <w:r w:rsidR="00616AE4" w:rsidRPr="00145253">
        <w:rPr>
          <w:rFonts w:ascii="Century Gothic" w:hAnsi="Century Gothic"/>
          <w:sz w:val="21"/>
          <w:szCs w:val="21"/>
        </w:rPr>
        <w:t xml:space="preserve"> we have noted that there are </w:t>
      </w:r>
      <w:r w:rsidR="005A78DE" w:rsidRPr="00145253">
        <w:rPr>
          <w:rFonts w:ascii="Century Gothic" w:hAnsi="Century Gothic"/>
          <w:sz w:val="21"/>
          <w:szCs w:val="21"/>
        </w:rPr>
        <w:t xml:space="preserve">on average </w:t>
      </w:r>
      <w:r w:rsidR="00D7237F" w:rsidRPr="00145253">
        <w:rPr>
          <w:rFonts w:ascii="Century Gothic" w:hAnsi="Century Gothic"/>
          <w:sz w:val="21"/>
          <w:szCs w:val="21"/>
        </w:rPr>
        <w:t xml:space="preserve">15 </w:t>
      </w:r>
      <w:r w:rsidR="005A78DE" w:rsidRPr="00145253">
        <w:rPr>
          <w:rFonts w:ascii="Century Gothic" w:hAnsi="Century Gothic"/>
          <w:sz w:val="21"/>
          <w:szCs w:val="21"/>
        </w:rPr>
        <w:t xml:space="preserve">children </w:t>
      </w:r>
      <w:r w:rsidR="00D7237F" w:rsidRPr="00145253">
        <w:rPr>
          <w:rFonts w:ascii="Century Gothic" w:hAnsi="Century Gothic"/>
          <w:sz w:val="21"/>
          <w:szCs w:val="21"/>
        </w:rPr>
        <w:t>eligible for EYPP</w:t>
      </w:r>
      <w:r w:rsidR="005A78DE" w:rsidRPr="00145253">
        <w:rPr>
          <w:rFonts w:ascii="Century Gothic" w:hAnsi="Century Gothic"/>
          <w:sz w:val="21"/>
          <w:szCs w:val="21"/>
        </w:rPr>
        <w:t>.</w:t>
      </w:r>
    </w:p>
    <w:p w14:paraId="551FFA6B" w14:textId="77777777" w:rsidR="0070448A" w:rsidRDefault="00616AE4" w:rsidP="0070448A">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As an Early Years setting, we have the freedom to choose how we spend the money to best support disadvantaged children in our care. </w:t>
      </w:r>
      <w:r w:rsidR="00946ECB" w:rsidRPr="00145253">
        <w:rPr>
          <w:rFonts w:ascii="Century Gothic" w:hAnsi="Century Gothic"/>
          <w:sz w:val="21"/>
          <w:szCs w:val="21"/>
        </w:rPr>
        <w:t xml:space="preserve">We are in receipt of approximately </w:t>
      </w:r>
      <w:r w:rsidR="00A92879" w:rsidRPr="00145253">
        <w:rPr>
          <w:rFonts w:ascii="Century Gothic" w:hAnsi="Century Gothic"/>
          <w:sz w:val="21"/>
          <w:szCs w:val="21"/>
        </w:rPr>
        <w:t>£5640 for the academic year 2023-24</w:t>
      </w:r>
    </w:p>
    <w:p w14:paraId="24ECFED8" w14:textId="287CC1B5" w:rsidR="00F74ADC" w:rsidRPr="0070448A" w:rsidRDefault="00A92879" w:rsidP="0070448A">
      <w:pPr>
        <w:pStyle w:val="NormalWeb"/>
        <w:spacing w:before="0" w:beforeAutospacing="0" w:after="150" w:afterAutospacing="0"/>
        <w:jc w:val="both"/>
        <w:rPr>
          <w:rFonts w:ascii="Century Gothic" w:hAnsi="Century Gothic"/>
          <w:sz w:val="21"/>
          <w:szCs w:val="21"/>
        </w:rPr>
      </w:pPr>
      <w:r w:rsidRPr="001B1427">
        <w:rPr>
          <w:rFonts w:ascii="Century Gothic" w:hAnsi="Century Gothic"/>
          <w:b/>
          <w:bCs/>
          <w:color w:val="00B050"/>
          <w:sz w:val="21"/>
          <w:szCs w:val="21"/>
          <w:u w:val="single"/>
        </w:rPr>
        <w:t xml:space="preserve">How we spend the </w:t>
      </w:r>
      <w:r w:rsidR="00A5297B" w:rsidRPr="001B1427">
        <w:rPr>
          <w:rFonts w:ascii="Century Gothic" w:hAnsi="Century Gothic"/>
          <w:b/>
          <w:bCs/>
          <w:color w:val="00B050"/>
          <w:sz w:val="21"/>
          <w:szCs w:val="21"/>
          <w:u w:val="single"/>
        </w:rPr>
        <w:t>EYPP funding</w:t>
      </w:r>
      <w:r w:rsidR="00145253" w:rsidRPr="001B1427">
        <w:rPr>
          <w:rFonts w:ascii="Century Gothic" w:hAnsi="Century Gothic"/>
          <w:b/>
          <w:bCs/>
          <w:color w:val="00B050"/>
          <w:sz w:val="21"/>
          <w:szCs w:val="21"/>
          <w:u w:val="single"/>
        </w:rPr>
        <w:t xml:space="preserve"> 2023-2</w:t>
      </w:r>
      <w:r w:rsidR="001B1427">
        <w:rPr>
          <w:rFonts w:ascii="Century Gothic" w:hAnsi="Century Gothic"/>
          <w:b/>
          <w:bCs/>
          <w:color w:val="00B050"/>
          <w:sz w:val="21"/>
          <w:szCs w:val="21"/>
          <w:u w:val="single"/>
        </w:rPr>
        <w:t>4</w:t>
      </w:r>
    </w:p>
    <w:p w14:paraId="5723E3F3" w14:textId="77777777" w:rsidR="00A5297B" w:rsidRPr="00145253" w:rsidRDefault="00A5297B" w:rsidP="00F17C3B">
      <w:pPr>
        <w:pStyle w:val="NormalWeb"/>
        <w:spacing w:before="0" w:beforeAutospacing="0" w:after="150" w:afterAutospacing="0"/>
        <w:jc w:val="both"/>
        <w:rPr>
          <w:rFonts w:ascii="Century Gothic" w:hAnsi="Century Gothic"/>
          <w:sz w:val="21"/>
          <w:szCs w:val="21"/>
        </w:rPr>
      </w:pPr>
    </w:p>
    <w:tbl>
      <w:tblPr>
        <w:tblStyle w:val="TableGrid"/>
        <w:tblW w:w="15168" w:type="dxa"/>
        <w:tblInd w:w="-856" w:type="dxa"/>
        <w:tblLook w:val="04A0" w:firstRow="1" w:lastRow="0" w:firstColumn="1" w:lastColumn="0" w:noHBand="0" w:noVBand="1"/>
      </w:tblPr>
      <w:tblGrid>
        <w:gridCol w:w="5529"/>
        <w:gridCol w:w="1985"/>
        <w:gridCol w:w="3827"/>
        <w:gridCol w:w="3827"/>
      </w:tblGrid>
      <w:tr w:rsidR="001B1427" w:rsidRPr="00145253" w14:paraId="7DF60037" w14:textId="77777777" w:rsidTr="0070448A">
        <w:tc>
          <w:tcPr>
            <w:tcW w:w="5529" w:type="dxa"/>
            <w:shd w:val="clear" w:color="auto" w:fill="D9F2D0" w:themeFill="accent6" w:themeFillTint="33"/>
          </w:tcPr>
          <w:p w14:paraId="55D52824" w14:textId="3DF083C0" w:rsidR="00A5297B" w:rsidRPr="00145253" w:rsidRDefault="00A5297B"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What </w:t>
            </w:r>
          </w:p>
        </w:tc>
        <w:tc>
          <w:tcPr>
            <w:tcW w:w="1985" w:type="dxa"/>
            <w:shd w:val="clear" w:color="auto" w:fill="D9F2D0" w:themeFill="accent6" w:themeFillTint="33"/>
          </w:tcPr>
          <w:p w14:paraId="6D71D095" w14:textId="5E16148D" w:rsidR="00A5297B" w:rsidRPr="00145253" w:rsidRDefault="00A5297B"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Cost</w:t>
            </w:r>
            <w:r w:rsidR="001B1427">
              <w:rPr>
                <w:rFonts w:ascii="Century Gothic" w:hAnsi="Century Gothic"/>
                <w:sz w:val="21"/>
                <w:szCs w:val="21"/>
              </w:rPr>
              <w:t>ing</w:t>
            </w:r>
          </w:p>
        </w:tc>
        <w:tc>
          <w:tcPr>
            <w:tcW w:w="3827" w:type="dxa"/>
            <w:shd w:val="clear" w:color="auto" w:fill="D9F2D0" w:themeFill="accent6" w:themeFillTint="33"/>
          </w:tcPr>
          <w:p w14:paraId="425BC65C" w14:textId="71654E49" w:rsidR="00A5297B" w:rsidRPr="00145253" w:rsidRDefault="00A5297B"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Success criteria</w:t>
            </w:r>
          </w:p>
        </w:tc>
        <w:tc>
          <w:tcPr>
            <w:tcW w:w="3827" w:type="dxa"/>
            <w:shd w:val="clear" w:color="auto" w:fill="D9F2D0" w:themeFill="accent6" w:themeFillTint="33"/>
          </w:tcPr>
          <w:p w14:paraId="55D5965B" w14:textId="22FD31DA" w:rsidR="00A5297B" w:rsidRPr="00145253" w:rsidRDefault="00A5297B"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Evaluation</w:t>
            </w:r>
          </w:p>
        </w:tc>
      </w:tr>
      <w:tr w:rsidR="001B1427" w:rsidRPr="00145253" w14:paraId="24530292" w14:textId="77777777" w:rsidTr="0070448A">
        <w:tc>
          <w:tcPr>
            <w:tcW w:w="5529" w:type="dxa"/>
          </w:tcPr>
          <w:p w14:paraId="6173320B" w14:textId="1CE7F3E8" w:rsidR="00A5297B" w:rsidRPr="00145253" w:rsidRDefault="00A5297B"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Cover the cost of a school meal for those eligible for a FSM - EYPP  Funding spent on paying for FSM meals Sept-23-July 24 </w:t>
            </w:r>
            <w:proofErr w:type="spellStart"/>
            <w:r w:rsidRPr="00145253">
              <w:rPr>
                <w:rFonts w:ascii="Century Gothic" w:hAnsi="Century Gothic"/>
                <w:sz w:val="21"/>
                <w:szCs w:val="21"/>
              </w:rPr>
              <w:t>approx</w:t>
            </w:r>
            <w:proofErr w:type="spellEnd"/>
            <w:r w:rsidRPr="00145253">
              <w:rPr>
                <w:rFonts w:ascii="Century Gothic" w:hAnsi="Century Gothic"/>
                <w:sz w:val="21"/>
                <w:szCs w:val="21"/>
              </w:rPr>
              <w:t xml:space="preserve"> 29 meals per week, </w:t>
            </w:r>
          </w:p>
        </w:tc>
        <w:tc>
          <w:tcPr>
            <w:tcW w:w="1985" w:type="dxa"/>
          </w:tcPr>
          <w:p w14:paraId="12D7FC6F" w14:textId="77777777" w:rsidR="00AF135E" w:rsidRPr="00145253" w:rsidRDefault="00AF135E" w:rsidP="00F17C3B">
            <w:pPr>
              <w:pStyle w:val="NormalWeb"/>
              <w:spacing w:before="0" w:beforeAutospacing="0" w:after="150" w:afterAutospacing="0"/>
              <w:jc w:val="both"/>
              <w:rPr>
                <w:rFonts w:ascii="Century Gothic" w:hAnsi="Century Gothic"/>
                <w:sz w:val="21"/>
                <w:szCs w:val="21"/>
              </w:rPr>
            </w:pPr>
          </w:p>
          <w:p w14:paraId="1B53B7C6" w14:textId="6EE9DD9E" w:rsidR="00AF135E" w:rsidRPr="00145253" w:rsidRDefault="00AF135E"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£3140</w:t>
            </w:r>
          </w:p>
        </w:tc>
        <w:tc>
          <w:tcPr>
            <w:tcW w:w="3827" w:type="dxa"/>
          </w:tcPr>
          <w:p w14:paraId="75BDF05B" w14:textId="098E0B05" w:rsidR="00A5297B" w:rsidRPr="00145253" w:rsidRDefault="00A5297B"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All EYPP children will receive a nutritious school lunch </w:t>
            </w:r>
            <w:r w:rsidR="00AF135E" w:rsidRPr="00145253">
              <w:rPr>
                <w:rFonts w:ascii="Century Gothic" w:hAnsi="Century Gothic"/>
                <w:sz w:val="21"/>
                <w:szCs w:val="21"/>
              </w:rPr>
              <w:t>(1-5 times a week, depending on attendance pattern)</w:t>
            </w:r>
          </w:p>
        </w:tc>
        <w:tc>
          <w:tcPr>
            <w:tcW w:w="3827" w:type="dxa"/>
          </w:tcPr>
          <w:p w14:paraId="12BAD390" w14:textId="77777777" w:rsidR="00A5297B" w:rsidRPr="00145253" w:rsidRDefault="00A5297B" w:rsidP="00F17C3B">
            <w:pPr>
              <w:pStyle w:val="NormalWeb"/>
              <w:spacing w:before="0" w:beforeAutospacing="0" w:after="150" w:afterAutospacing="0"/>
              <w:jc w:val="both"/>
              <w:rPr>
                <w:rFonts w:ascii="Century Gothic" w:hAnsi="Century Gothic"/>
                <w:sz w:val="21"/>
                <w:szCs w:val="21"/>
              </w:rPr>
            </w:pPr>
          </w:p>
        </w:tc>
      </w:tr>
      <w:tr w:rsidR="001B1427" w:rsidRPr="00145253" w14:paraId="26405D51" w14:textId="77777777" w:rsidTr="0070448A">
        <w:tc>
          <w:tcPr>
            <w:tcW w:w="5529" w:type="dxa"/>
          </w:tcPr>
          <w:p w14:paraId="1F966AEA" w14:textId="1EE1513A" w:rsidR="00A5297B" w:rsidRPr="00145253" w:rsidRDefault="00AF135E"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Cost of covering TA support for so they can run small nurture groups, to focus on communication and language, attention and listening  approx. £760 pa</w:t>
            </w:r>
          </w:p>
        </w:tc>
        <w:tc>
          <w:tcPr>
            <w:tcW w:w="1985" w:type="dxa"/>
          </w:tcPr>
          <w:p w14:paraId="297F8AFA" w14:textId="77777777" w:rsidR="00A5297B" w:rsidRPr="00145253" w:rsidRDefault="00A5297B" w:rsidP="00F17C3B">
            <w:pPr>
              <w:pStyle w:val="NormalWeb"/>
              <w:spacing w:before="0" w:beforeAutospacing="0" w:after="150" w:afterAutospacing="0"/>
              <w:jc w:val="both"/>
              <w:rPr>
                <w:rFonts w:ascii="Century Gothic" w:hAnsi="Century Gothic"/>
                <w:sz w:val="21"/>
                <w:szCs w:val="21"/>
              </w:rPr>
            </w:pPr>
          </w:p>
          <w:p w14:paraId="68905E9C" w14:textId="2C7962B7" w:rsidR="00AF135E" w:rsidRPr="00145253" w:rsidRDefault="0070448A" w:rsidP="00F17C3B">
            <w:pPr>
              <w:pStyle w:val="NormalWeb"/>
              <w:spacing w:before="0" w:beforeAutospacing="0" w:after="150" w:afterAutospacing="0"/>
              <w:jc w:val="both"/>
              <w:rPr>
                <w:rFonts w:ascii="Century Gothic" w:hAnsi="Century Gothic"/>
                <w:sz w:val="21"/>
                <w:szCs w:val="21"/>
              </w:rPr>
            </w:pPr>
            <w:r>
              <w:rPr>
                <w:rFonts w:ascii="Century Gothic" w:hAnsi="Century Gothic"/>
                <w:sz w:val="21"/>
                <w:szCs w:val="21"/>
              </w:rPr>
              <w:t>£</w:t>
            </w:r>
            <w:r w:rsidR="00AF135E" w:rsidRPr="00145253">
              <w:rPr>
                <w:rFonts w:ascii="Century Gothic" w:hAnsi="Century Gothic"/>
                <w:sz w:val="21"/>
                <w:szCs w:val="21"/>
              </w:rPr>
              <w:t>760</w:t>
            </w:r>
          </w:p>
        </w:tc>
        <w:tc>
          <w:tcPr>
            <w:tcW w:w="3827" w:type="dxa"/>
          </w:tcPr>
          <w:p w14:paraId="058A6B14" w14:textId="2D440AE8" w:rsidR="00A5297B" w:rsidRPr="00145253" w:rsidRDefault="00AF135E"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Improved communication and language, attention and listening, and social engagement</w:t>
            </w:r>
          </w:p>
        </w:tc>
        <w:tc>
          <w:tcPr>
            <w:tcW w:w="3827" w:type="dxa"/>
          </w:tcPr>
          <w:p w14:paraId="2A3AA107" w14:textId="77777777" w:rsidR="00A5297B" w:rsidRPr="00145253" w:rsidRDefault="00A5297B" w:rsidP="00F17C3B">
            <w:pPr>
              <w:pStyle w:val="NormalWeb"/>
              <w:spacing w:before="0" w:beforeAutospacing="0" w:after="150" w:afterAutospacing="0"/>
              <w:jc w:val="both"/>
              <w:rPr>
                <w:rFonts w:ascii="Century Gothic" w:hAnsi="Century Gothic"/>
                <w:sz w:val="21"/>
                <w:szCs w:val="21"/>
              </w:rPr>
            </w:pPr>
          </w:p>
        </w:tc>
      </w:tr>
      <w:tr w:rsidR="001B1427" w:rsidRPr="00145253" w14:paraId="1634C350" w14:textId="77777777" w:rsidTr="0070448A">
        <w:tc>
          <w:tcPr>
            <w:tcW w:w="5529" w:type="dxa"/>
          </w:tcPr>
          <w:p w14:paraId="0E48A2C1" w14:textId="194273B2" w:rsidR="00A5297B" w:rsidRPr="00145253" w:rsidRDefault="00AF135E"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S</w:t>
            </w:r>
            <w:r w:rsidRPr="00145253">
              <w:rPr>
                <w:rFonts w:ascii="Century Gothic" w:hAnsi="Century Gothic"/>
                <w:sz w:val="21"/>
                <w:szCs w:val="21"/>
              </w:rPr>
              <w:t>mall group work music sessions</w:t>
            </w:r>
            <w:r w:rsidR="001F0327" w:rsidRPr="00145253">
              <w:rPr>
                <w:rFonts w:ascii="Century Gothic" w:hAnsi="Century Gothic"/>
                <w:sz w:val="21"/>
                <w:szCs w:val="21"/>
              </w:rPr>
              <w:t xml:space="preserve">, </w:t>
            </w:r>
            <w:r w:rsidRPr="00145253">
              <w:rPr>
                <w:rFonts w:ascii="Century Gothic" w:hAnsi="Century Gothic"/>
                <w:sz w:val="21"/>
                <w:szCs w:val="21"/>
              </w:rPr>
              <w:t>through our contracted music therapy service</w:t>
            </w:r>
          </w:p>
        </w:tc>
        <w:tc>
          <w:tcPr>
            <w:tcW w:w="1985" w:type="dxa"/>
          </w:tcPr>
          <w:p w14:paraId="0529CEDE" w14:textId="77777777" w:rsidR="00A5297B" w:rsidRPr="00145253" w:rsidRDefault="00A5297B" w:rsidP="00F17C3B">
            <w:pPr>
              <w:pStyle w:val="NormalWeb"/>
              <w:spacing w:before="0" w:beforeAutospacing="0" w:after="150" w:afterAutospacing="0"/>
              <w:jc w:val="both"/>
              <w:rPr>
                <w:rFonts w:ascii="Century Gothic" w:hAnsi="Century Gothic"/>
                <w:sz w:val="21"/>
                <w:szCs w:val="21"/>
              </w:rPr>
            </w:pPr>
          </w:p>
          <w:p w14:paraId="13986DAE" w14:textId="2756E0E7" w:rsidR="00AF135E" w:rsidRPr="00145253" w:rsidRDefault="00AF135E"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Contribution </w:t>
            </w:r>
            <w:r w:rsidR="001F0327" w:rsidRPr="00145253">
              <w:rPr>
                <w:rFonts w:ascii="Century Gothic" w:hAnsi="Century Gothic"/>
                <w:sz w:val="21"/>
                <w:szCs w:val="21"/>
              </w:rPr>
              <w:t>£1000</w:t>
            </w:r>
          </w:p>
        </w:tc>
        <w:tc>
          <w:tcPr>
            <w:tcW w:w="3827" w:type="dxa"/>
          </w:tcPr>
          <w:p w14:paraId="59B45C17" w14:textId="139838DF" w:rsidR="00A5297B" w:rsidRPr="00145253" w:rsidRDefault="001F0327" w:rsidP="001F0327">
            <w:pPr>
              <w:pStyle w:val="NormalWeb"/>
              <w:spacing w:before="0" w:beforeAutospacing="0" w:after="150" w:afterAutospacing="0"/>
              <w:rPr>
                <w:rFonts w:ascii="Century Gothic" w:hAnsi="Century Gothic"/>
                <w:sz w:val="21"/>
                <w:szCs w:val="21"/>
              </w:rPr>
            </w:pPr>
            <w:r w:rsidRPr="00145253">
              <w:rPr>
                <w:rFonts w:ascii="Century Gothic" w:hAnsi="Century Gothic"/>
                <w:sz w:val="21"/>
                <w:szCs w:val="21"/>
              </w:rPr>
              <w:t xml:space="preserve">Improved </w:t>
            </w:r>
            <w:r w:rsidRPr="00145253">
              <w:rPr>
                <w:rFonts w:ascii="Century Gothic" w:hAnsi="Century Gothic"/>
                <w:sz w:val="21"/>
                <w:szCs w:val="21"/>
              </w:rPr>
              <w:t>listening and attention, social confidence and</w:t>
            </w:r>
            <w:r w:rsidRPr="00145253">
              <w:rPr>
                <w:rFonts w:ascii="Century Gothic" w:hAnsi="Century Gothic"/>
                <w:sz w:val="21"/>
                <w:szCs w:val="21"/>
              </w:rPr>
              <w:t xml:space="preserve"> </w:t>
            </w:r>
            <w:r w:rsidRPr="00145253">
              <w:rPr>
                <w:rFonts w:ascii="Century Gothic" w:hAnsi="Century Gothic"/>
                <w:sz w:val="21"/>
                <w:szCs w:val="21"/>
              </w:rPr>
              <w:t>social interaction</w:t>
            </w:r>
          </w:p>
        </w:tc>
        <w:tc>
          <w:tcPr>
            <w:tcW w:w="3827" w:type="dxa"/>
          </w:tcPr>
          <w:p w14:paraId="773DBAD0" w14:textId="77777777" w:rsidR="00A5297B" w:rsidRPr="00145253" w:rsidRDefault="00A5297B" w:rsidP="00F17C3B">
            <w:pPr>
              <w:pStyle w:val="NormalWeb"/>
              <w:spacing w:before="0" w:beforeAutospacing="0" w:after="150" w:afterAutospacing="0"/>
              <w:jc w:val="both"/>
              <w:rPr>
                <w:rFonts w:ascii="Century Gothic" w:hAnsi="Century Gothic"/>
                <w:sz w:val="21"/>
                <w:szCs w:val="21"/>
              </w:rPr>
            </w:pPr>
          </w:p>
        </w:tc>
      </w:tr>
      <w:tr w:rsidR="001B1427" w:rsidRPr="00145253" w14:paraId="5CB14DEE" w14:textId="77777777" w:rsidTr="0070448A">
        <w:tc>
          <w:tcPr>
            <w:tcW w:w="5529" w:type="dxa"/>
          </w:tcPr>
          <w:p w14:paraId="01359062" w14:textId="7DCB7B5C" w:rsidR="00A5297B" w:rsidRPr="00145253" w:rsidRDefault="001F0327"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Continue our commitment to furthering our knowledge within our Continuing Professional Development by attending relevant </w:t>
            </w:r>
            <w:proofErr w:type="spellStart"/>
            <w:r w:rsidRPr="00145253">
              <w:rPr>
                <w:rFonts w:ascii="Century Gothic" w:hAnsi="Century Gothic"/>
                <w:sz w:val="21"/>
                <w:szCs w:val="21"/>
              </w:rPr>
              <w:t>cpd</w:t>
            </w:r>
            <w:proofErr w:type="spellEnd"/>
            <w:r w:rsidRPr="00145253">
              <w:rPr>
                <w:rFonts w:ascii="Century Gothic" w:hAnsi="Century Gothic"/>
                <w:sz w:val="21"/>
                <w:szCs w:val="21"/>
              </w:rPr>
              <w:t xml:space="preserve"> (this year with a focus on maths) whole staff team (in house) £50</w:t>
            </w:r>
          </w:p>
        </w:tc>
        <w:tc>
          <w:tcPr>
            <w:tcW w:w="1985" w:type="dxa"/>
          </w:tcPr>
          <w:p w14:paraId="310EE676" w14:textId="77777777" w:rsidR="00A5297B" w:rsidRPr="00145253" w:rsidRDefault="00A5297B" w:rsidP="00F17C3B">
            <w:pPr>
              <w:pStyle w:val="NormalWeb"/>
              <w:spacing w:before="0" w:beforeAutospacing="0" w:after="150" w:afterAutospacing="0"/>
              <w:jc w:val="both"/>
              <w:rPr>
                <w:rFonts w:ascii="Century Gothic" w:hAnsi="Century Gothic"/>
                <w:sz w:val="21"/>
                <w:szCs w:val="21"/>
              </w:rPr>
            </w:pPr>
          </w:p>
          <w:p w14:paraId="7EF0BB8A" w14:textId="003226AB" w:rsidR="001F0327" w:rsidRPr="00145253" w:rsidRDefault="001F0327"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£50 resources</w:t>
            </w:r>
          </w:p>
        </w:tc>
        <w:tc>
          <w:tcPr>
            <w:tcW w:w="3827" w:type="dxa"/>
          </w:tcPr>
          <w:p w14:paraId="7457A952" w14:textId="376DFE89" w:rsidR="00A5297B" w:rsidRPr="00145253" w:rsidRDefault="001F0327"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Staff upskilled  in promoting rich mathematical opportunities through focus activities, the environment and continuous provision</w:t>
            </w:r>
          </w:p>
        </w:tc>
        <w:tc>
          <w:tcPr>
            <w:tcW w:w="3827" w:type="dxa"/>
          </w:tcPr>
          <w:p w14:paraId="6207B4D6" w14:textId="77777777" w:rsidR="00A5297B" w:rsidRPr="00145253" w:rsidRDefault="00A5297B" w:rsidP="00F17C3B">
            <w:pPr>
              <w:pStyle w:val="NormalWeb"/>
              <w:spacing w:before="0" w:beforeAutospacing="0" w:after="150" w:afterAutospacing="0"/>
              <w:jc w:val="both"/>
              <w:rPr>
                <w:rFonts w:ascii="Century Gothic" w:hAnsi="Century Gothic"/>
                <w:sz w:val="21"/>
                <w:szCs w:val="21"/>
              </w:rPr>
            </w:pPr>
          </w:p>
        </w:tc>
      </w:tr>
      <w:tr w:rsidR="001B1427" w:rsidRPr="00145253" w14:paraId="17704E15" w14:textId="77777777" w:rsidTr="0070448A">
        <w:tc>
          <w:tcPr>
            <w:tcW w:w="5529" w:type="dxa"/>
          </w:tcPr>
          <w:p w14:paraId="19079BA6" w14:textId="0CDDEB59" w:rsidR="00A5297B" w:rsidRPr="00145253" w:rsidRDefault="001F0327"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Signposting families to additional services through local family hub offer</w:t>
            </w:r>
          </w:p>
        </w:tc>
        <w:tc>
          <w:tcPr>
            <w:tcW w:w="1985" w:type="dxa"/>
          </w:tcPr>
          <w:p w14:paraId="53EAF044" w14:textId="3F4AD895" w:rsidR="00A5297B" w:rsidRPr="00145253" w:rsidRDefault="0070448A" w:rsidP="00F17C3B">
            <w:pPr>
              <w:pStyle w:val="NormalWeb"/>
              <w:spacing w:before="0" w:beforeAutospacing="0" w:after="150" w:afterAutospacing="0"/>
              <w:jc w:val="both"/>
              <w:rPr>
                <w:rFonts w:ascii="Century Gothic" w:hAnsi="Century Gothic"/>
                <w:sz w:val="21"/>
                <w:szCs w:val="21"/>
              </w:rPr>
            </w:pPr>
            <w:r>
              <w:rPr>
                <w:rFonts w:ascii="Century Gothic" w:hAnsi="Century Gothic"/>
                <w:sz w:val="21"/>
                <w:szCs w:val="21"/>
              </w:rPr>
              <w:t>£0</w:t>
            </w:r>
          </w:p>
        </w:tc>
        <w:tc>
          <w:tcPr>
            <w:tcW w:w="3827" w:type="dxa"/>
          </w:tcPr>
          <w:p w14:paraId="77104D0C" w14:textId="0D41A08D" w:rsidR="00A5297B" w:rsidRPr="00145253" w:rsidRDefault="0070448A" w:rsidP="00F17C3B">
            <w:pPr>
              <w:pStyle w:val="NormalWeb"/>
              <w:spacing w:before="0" w:beforeAutospacing="0" w:after="150" w:afterAutospacing="0"/>
              <w:jc w:val="both"/>
              <w:rPr>
                <w:rFonts w:ascii="Century Gothic" w:hAnsi="Century Gothic"/>
                <w:sz w:val="21"/>
                <w:szCs w:val="21"/>
              </w:rPr>
            </w:pPr>
            <w:r>
              <w:rPr>
                <w:rFonts w:ascii="Century Gothic" w:hAnsi="Century Gothic"/>
                <w:sz w:val="21"/>
                <w:szCs w:val="21"/>
              </w:rPr>
              <w:t>Parents better informed on a range of factors to support their children</w:t>
            </w:r>
          </w:p>
        </w:tc>
        <w:tc>
          <w:tcPr>
            <w:tcW w:w="3827" w:type="dxa"/>
          </w:tcPr>
          <w:p w14:paraId="4768B839" w14:textId="77777777" w:rsidR="00A5297B" w:rsidRPr="00145253" w:rsidRDefault="00A5297B" w:rsidP="00F17C3B">
            <w:pPr>
              <w:pStyle w:val="NormalWeb"/>
              <w:spacing w:before="0" w:beforeAutospacing="0" w:after="150" w:afterAutospacing="0"/>
              <w:jc w:val="both"/>
              <w:rPr>
                <w:rFonts w:ascii="Century Gothic" w:hAnsi="Century Gothic"/>
                <w:sz w:val="21"/>
                <w:szCs w:val="21"/>
              </w:rPr>
            </w:pPr>
          </w:p>
        </w:tc>
      </w:tr>
      <w:tr w:rsidR="001B1427" w:rsidRPr="00145253" w14:paraId="2E3B79F9" w14:textId="77777777" w:rsidTr="0070448A">
        <w:tc>
          <w:tcPr>
            <w:tcW w:w="5529" w:type="dxa"/>
          </w:tcPr>
          <w:p w14:paraId="2CB13602" w14:textId="3354C757" w:rsidR="00A5297B" w:rsidRPr="00145253" w:rsidRDefault="001F0327"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Purchase of two additional bikes (Rabo large 2 wheelers</w:t>
            </w:r>
            <w:r w:rsidRPr="00145253">
              <w:rPr>
                <w:rFonts w:ascii="Century Gothic" w:hAnsi="Century Gothic"/>
                <w:sz w:val="21"/>
                <w:szCs w:val="21"/>
              </w:rPr>
              <w:t>)</w:t>
            </w:r>
          </w:p>
        </w:tc>
        <w:tc>
          <w:tcPr>
            <w:tcW w:w="1985" w:type="dxa"/>
          </w:tcPr>
          <w:p w14:paraId="2571B2A9" w14:textId="732BEC5E" w:rsidR="00A5297B" w:rsidRPr="00145253" w:rsidRDefault="001F0327"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£379</w:t>
            </w:r>
          </w:p>
        </w:tc>
        <w:tc>
          <w:tcPr>
            <w:tcW w:w="3827" w:type="dxa"/>
          </w:tcPr>
          <w:p w14:paraId="15DFBF42" w14:textId="24AC31A0" w:rsidR="00A5297B" w:rsidRPr="00145253" w:rsidRDefault="001F0327"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C</w:t>
            </w:r>
            <w:r w:rsidR="002C5F12" w:rsidRPr="00145253">
              <w:rPr>
                <w:rFonts w:ascii="Century Gothic" w:hAnsi="Century Gothic"/>
                <w:sz w:val="21"/>
                <w:szCs w:val="21"/>
              </w:rPr>
              <w:t xml:space="preserve">onfidence to tackle new challenge for older children </w:t>
            </w:r>
          </w:p>
        </w:tc>
        <w:tc>
          <w:tcPr>
            <w:tcW w:w="3827" w:type="dxa"/>
          </w:tcPr>
          <w:p w14:paraId="43B913DA" w14:textId="77777777" w:rsidR="00A5297B" w:rsidRPr="00145253" w:rsidRDefault="00A5297B" w:rsidP="00F17C3B">
            <w:pPr>
              <w:pStyle w:val="NormalWeb"/>
              <w:spacing w:before="0" w:beforeAutospacing="0" w:after="150" w:afterAutospacing="0"/>
              <w:jc w:val="both"/>
              <w:rPr>
                <w:rFonts w:ascii="Century Gothic" w:hAnsi="Century Gothic"/>
                <w:sz w:val="21"/>
                <w:szCs w:val="21"/>
              </w:rPr>
            </w:pPr>
          </w:p>
        </w:tc>
      </w:tr>
      <w:tr w:rsidR="002C5F12" w:rsidRPr="00145253" w14:paraId="354F2451" w14:textId="77777777" w:rsidTr="0070448A">
        <w:tc>
          <w:tcPr>
            <w:tcW w:w="5529" w:type="dxa"/>
          </w:tcPr>
          <w:p w14:paraId="413A7319" w14:textId="3831056D" w:rsidR="002C5F12" w:rsidRPr="00145253" w:rsidRDefault="002C5F12"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Trips into the local and wider community which enhance children’s learning and development</w:t>
            </w:r>
          </w:p>
        </w:tc>
        <w:tc>
          <w:tcPr>
            <w:tcW w:w="1985" w:type="dxa"/>
          </w:tcPr>
          <w:p w14:paraId="7A5E6F34" w14:textId="0F703A7A" w:rsidR="002C5F12" w:rsidRPr="00145253" w:rsidRDefault="00145253"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 Neg</w:t>
            </w:r>
          </w:p>
        </w:tc>
        <w:tc>
          <w:tcPr>
            <w:tcW w:w="3827" w:type="dxa"/>
          </w:tcPr>
          <w:p w14:paraId="13DD1807" w14:textId="40769060" w:rsidR="002C5F12" w:rsidRPr="00145253" w:rsidRDefault="002C5F12"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Broadening </w:t>
            </w:r>
            <w:r w:rsidR="00145253" w:rsidRPr="00145253">
              <w:rPr>
                <w:rFonts w:ascii="Century Gothic" w:hAnsi="Century Gothic"/>
                <w:sz w:val="21"/>
                <w:szCs w:val="21"/>
              </w:rPr>
              <w:t>children’s</w:t>
            </w:r>
            <w:r w:rsidRPr="00145253">
              <w:rPr>
                <w:rFonts w:ascii="Century Gothic" w:hAnsi="Century Gothic"/>
                <w:sz w:val="21"/>
                <w:szCs w:val="21"/>
              </w:rPr>
              <w:t xml:space="preserve"> experiences</w:t>
            </w:r>
            <w:r w:rsidR="00145253" w:rsidRPr="00145253">
              <w:rPr>
                <w:rFonts w:ascii="Century Gothic" w:hAnsi="Century Gothic"/>
                <w:sz w:val="21"/>
                <w:szCs w:val="21"/>
              </w:rPr>
              <w:t>, understanding the world, strengthening cultural capital</w:t>
            </w:r>
          </w:p>
        </w:tc>
        <w:tc>
          <w:tcPr>
            <w:tcW w:w="3827" w:type="dxa"/>
          </w:tcPr>
          <w:p w14:paraId="23EF7B05" w14:textId="77777777" w:rsidR="002C5F12" w:rsidRPr="00145253" w:rsidRDefault="002C5F12" w:rsidP="00F17C3B">
            <w:pPr>
              <w:pStyle w:val="NormalWeb"/>
              <w:spacing w:before="0" w:beforeAutospacing="0" w:after="150" w:afterAutospacing="0"/>
              <w:jc w:val="both"/>
              <w:rPr>
                <w:rFonts w:ascii="Century Gothic" w:hAnsi="Century Gothic"/>
                <w:sz w:val="21"/>
                <w:szCs w:val="21"/>
              </w:rPr>
            </w:pPr>
          </w:p>
        </w:tc>
      </w:tr>
      <w:tr w:rsidR="00145253" w:rsidRPr="00145253" w14:paraId="2DC7663C" w14:textId="77777777" w:rsidTr="0070448A">
        <w:tc>
          <w:tcPr>
            <w:tcW w:w="5529" w:type="dxa"/>
          </w:tcPr>
          <w:p w14:paraId="323520C1" w14:textId="7BB5DB17" w:rsidR="00145253" w:rsidRPr="00145253" w:rsidRDefault="00145253" w:rsidP="00F17C3B">
            <w:pPr>
              <w:pStyle w:val="NormalWeb"/>
              <w:spacing w:before="0" w:beforeAutospacing="0" w:after="150" w:afterAutospacing="0"/>
              <w:jc w:val="both"/>
              <w:rPr>
                <w:rFonts w:ascii="Century Gothic" w:hAnsi="Century Gothic"/>
                <w:sz w:val="21"/>
                <w:szCs w:val="21"/>
              </w:rPr>
            </w:pPr>
            <w:r>
              <w:rPr>
                <w:rFonts w:ascii="Century Gothic" w:hAnsi="Century Gothic"/>
                <w:sz w:val="21"/>
                <w:szCs w:val="21"/>
              </w:rPr>
              <w:t>Total spend</w:t>
            </w:r>
          </w:p>
        </w:tc>
        <w:tc>
          <w:tcPr>
            <w:tcW w:w="1985" w:type="dxa"/>
          </w:tcPr>
          <w:p w14:paraId="249CF911" w14:textId="77777777" w:rsidR="00145253" w:rsidRDefault="001B1427" w:rsidP="00F17C3B">
            <w:pPr>
              <w:pStyle w:val="NormalWeb"/>
              <w:spacing w:before="0" w:beforeAutospacing="0" w:after="150" w:afterAutospacing="0"/>
              <w:jc w:val="both"/>
              <w:rPr>
                <w:rFonts w:ascii="Century Gothic" w:hAnsi="Century Gothic"/>
                <w:sz w:val="21"/>
                <w:szCs w:val="21"/>
              </w:rPr>
            </w:pPr>
            <w:r>
              <w:rPr>
                <w:rFonts w:ascii="Century Gothic" w:hAnsi="Century Gothic"/>
                <w:sz w:val="21"/>
                <w:szCs w:val="21"/>
              </w:rPr>
              <w:t>£5329</w:t>
            </w:r>
          </w:p>
          <w:p w14:paraId="3B36473B" w14:textId="0EA7BB55" w:rsidR="001B1427" w:rsidRPr="00145253" w:rsidRDefault="0070448A" w:rsidP="00F17C3B">
            <w:pPr>
              <w:pStyle w:val="NormalWeb"/>
              <w:spacing w:before="0" w:beforeAutospacing="0" w:after="150" w:afterAutospacing="0"/>
              <w:jc w:val="both"/>
              <w:rPr>
                <w:rFonts w:ascii="Century Gothic" w:hAnsi="Century Gothic"/>
                <w:sz w:val="21"/>
                <w:szCs w:val="21"/>
              </w:rPr>
            </w:pPr>
            <w:r>
              <w:rPr>
                <w:rFonts w:ascii="Century Gothic" w:hAnsi="Century Gothic"/>
                <w:sz w:val="21"/>
                <w:szCs w:val="21"/>
              </w:rPr>
              <w:t xml:space="preserve">(£311 </w:t>
            </w:r>
            <w:r>
              <w:rPr>
                <w:rFonts w:ascii="Century Gothic" w:hAnsi="Century Gothic"/>
                <w:sz w:val="21"/>
                <w:szCs w:val="21"/>
              </w:rPr>
              <w:t>left)</w:t>
            </w:r>
          </w:p>
        </w:tc>
        <w:tc>
          <w:tcPr>
            <w:tcW w:w="3827" w:type="dxa"/>
          </w:tcPr>
          <w:p w14:paraId="2C578856" w14:textId="77777777" w:rsidR="00145253" w:rsidRPr="00145253" w:rsidRDefault="00145253" w:rsidP="00F17C3B">
            <w:pPr>
              <w:pStyle w:val="NormalWeb"/>
              <w:spacing w:before="0" w:beforeAutospacing="0" w:after="150" w:afterAutospacing="0"/>
              <w:jc w:val="both"/>
              <w:rPr>
                <w:rFonts w:ascii="Century Gothic" w:hAnsi="Century Gothic"/>
                <w:sz w:val="21"/>
                <w:szCs w:val="21"/>
              </w:rPr>
            </w:pPr>
          </w:p>
        </w:tc>
        <w:tc>
          <w:tcPr>
            <w:tcW w:w="3827" w:type="dxa"/>
          </w:tcPr>
          <w:p w14:paraId="35162648" w14:textId="77777777" w:rsidR="00145253" w:rsidRPr="00145253" w:rsidRDefault="00145253" w:rsidP="00F17C3B">
            <w:pPr>
              <w:pStyle w:val="NormalWeb"/>
              <w:spacing w:before="0" w:beforeAutospacing="0" w:after="150" w:afterAutospacing="0"/>
              <w:jc w:val="both"/>
              <w:rPr>
                <w:rFonts w:ascii="Century Gothic" w:hAnsi="Century Gothic"/>
                <w:sz w:val="21"/>
                <w:szCs w:val="21"/>
              </w:rPr>
            </w:pPr>
          </w:p>
        </w:tc>
      </w:tr>
    </w:tbl>
    <w:p w14:paraId="48AB2EA8" w14:textId="3716CF8B" w:rsidR="005A78DE" w:rsidRPr="001B1427" w:rsidRDefault="005A78DE" w:rsidP="00F17C3B">
      <w:pPr>
        <w:pStyle w:val="NormalWeb"/>
        <w:spacing w:before="0" w:beforeAutospacing="0" w:after="150" w:afterAutospacing="0"/>
        <w:jc w:val="both"/>
        <w:rPr>
          <w:rFonts w:ascii="Century Gothic" w:hAnsi="Century Gothic"/>
          <w:color w:val="00B050"/>
          <w:sz w:val="21"/>
          <w:szCs w:val="21"/>
        </w:rPr>
      </w:pPr>
    </w:p>
    <w:p w14:paraId="057049AB" w14:textId="77777777" w:rsidR="004706C7" w:rsidRPr="001B1427" w:rsidRDefault="00616AE4" w:rsidP="00F17C3B">
      <w:pPr>
        <w:pStyle w:val="NormalWeb"/>
        <w:spacing w:before="0" w:beforeAutospacing="0" w:after="150" w:afterAutospacing="0"/>
        <w:jc w:val="both"/>
        <w:rPr>
          <w:rFonts w:ascii="Century Gothic" w:hAnsi="Century Gothic"/>
          <w:b/>
          <w:bCs/>
          <w:color w:val="00B050"/>
          <w:sz w:val="21"/>
          <w:szCs w:val="21"/>
          <w:u w:val="single"/>
        </w:rPr>
      </w:pPr>
      <w:r w:rsidRPr="001B1427">
        <w:rPr>
          <w:rFonts w:ascii="Century Gothic" w:hAnsi="Century Gothic"/>
          <w:b/>
          <w:bCs/>
          <w:color w:val="00B050"/>
          <w:sz w:val="21"/>
          <w:szCs w:val="21"/>
          <w:u w:val="single"/>
        </w:rPr>
        <w:t xml:space="preserve">Measuring the impact of the EYPP </w:t>
      </w:r>
    </w:p>
    <w:p w14:paraId="2EE43A0B" w14:textId="624D1FAC" w:rsidR="00946ECB" w:rsidRPr="00145253" w:rsidRDefault="00946ECB"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Observations of children in house</w:t>
      </w:r>
    </w:p>
    <w:p w14:paraId="217CB4DF" w14:textId="1BDC2C1B" w:rsidR="00946ECB" w:rsidRPr="00145253" w:rsidRDefault="00616AE4"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Informal conversations at the start or end of a day</w:t>
      </w:r>
    </w:p>
    <w:p w14:paraId="08A135BC" w14:textId="77777777" w:rsidR="00946ECB" w:rsidRPr="00145253" w:rsidRDefault="00946ECB"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Conversations with families through termly parent conferences</w:t>
      </w:r>
    </w:p>
    <w:p w14:paraId="42CFB333" w14:textId="77777777" w:rsidR="00946ECB" w:rsidRPr="00145253" w:rsidRDefault="00946ECB"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Exit interviews</w:t>
      </w:r>
    </w:p>
    <w:p w14:paraId="5697CC04" w14:textId="77777777" w:rsidR="00946ECB" w:rsidRPr="00145253" w:rsidRDefault="00616AE4"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Success after the implementation of any additional family support </w:t>
      </w:r>
    </w:p>
    <w:p w14:paraId="2854FF81" w14:textId="77777777" w:rsidR="00946ECB" w:rsidRPr="00145253" w:rsidRDefault="00616AE4"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Conversations with professionals we work alongside to support families; 8. </w:t>
      </w:r>
    </w:p>
    <w:p w14:paraId="14C9B3EA" w14:textId="5FDAD286" w:rsidR="00616AE4" w:rsidRPr="00145253" w:rsidRDefault="00616AE4" w:rsidP="00F17C3B">
      <w:pPr>
        <w:pStyle w:val="NormalWeb"/>
        <w:spacing w:before="0" w:beforeAutospacing="0" w:after="150" w:afterAutospacing="0"/>
        <w:jc w:val="both"/>
        <w:rPr>
          <w:rFonts w:ascii="Century Gothic" w:hAnsi="Century Gothic"/>
          <w:sz w:val="21"/>
          <w:szCs w:val="21"/>
        </w:rPr>
      </w:pPr>
      <w:r w:rsidRPr="00145253">
        <w:rPr>
          <w:rFonts w:ascii="Century Gothic" w:hAnsi="Century Gothic"/>
          <w:sz w:val="21"/>
          <w:szCs w:val="21"/>
        </w:rPr>
        <w:t xml:space="preserve">Case studies </w:t>
      </w:r>
    </w:p>
    <w:p w14:paraId="5BC7A3FF" w14:textId="342A4AAD" w:rsidR="00946ECB" w:rsidRPr="00145253" w:rsidRDefault="00946ECB" w:rsidP="00F17C3B">
      <w:pPr>
        <w:pStyle w:val="NormalWeb"/>
        <w:spacing w:before="0" w:beforeAutospacing="0" w:after="150" w:afterAutospacing="0"/>
        <w:jc w:val="both"/>
        <w:rPr>
          <w:rFonts w:ascii="Century Gothic" w:hAnsi="Century Gothic" w:cs="Open Sans"/>
          <w:color w:val="333333"/>
          <w:sz w:val="21"/>
          <w:szCs w:val="21"/>
        </w:rPr>
      </w:pPr>
      <w:r w:rsidRPr="00145253">
        <w:rPr>
          <w:rFonts w:ascii="Century Gothic" w:hAnsi="Century Gothic"/>
          <w:sz w:val="21"/>
          <w:szCs w:val="21"/>
        </w:rPr>
        <w:t>Termly summative tracking</w:t>
      </w:r>
    </w:p>
    <w:p w14:paraId="40D9D2FF" w14:textId="77777777" w:rsidR="00F17C3B" w:rsidRPr="00145253" w:rsidRDefault="00F17C3B">
      <w:pPr>
        <w:rPr>
          <w:sz w:val="21"/>
          <w:szCs w:val="21"/>
        </w:rPr>
      </w:pPr>
    </w:p>
    <w:sectPr w:rsidR="00F17C3B" w:rsidRPr="00145253" w:rsidSect="007044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F36C2E"/>
    <w:multiLevelType w:val="hybridMultilevel"/>
    <w:tmpl w:val="E4B6B0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78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D1"/>
    <w:rsid w:val="00086E10"/>
    <w:rsid w:val="00145253"/>
    <w:rsid w:val="001B1427"/>
    <w:rsid w:val="001F0327"/>
    <w:rsid w:val="002C5F12"/>
    <w:rsid w:val="003447D1"/>
    <w:rsid w:val="003F737F"/>
    <w:rsid w:val="00450CB0"/>
    <w:rsid w:val="004706C7"/>
    <w:rsid w:val="00484884"/>
    <w:rsid w:val="005A78DE"/>
    <w:rsid w:val="00616AE4"/>
    <w:rsid w:val="00685D64"/>
    <w:rsid w:val="0070448A"/>
    <w:rsid w:val="00752724"/>
    <w:rsid w:val="00771A5D"/>
    <w:rsid w:val="00946ECB"/>
    <w:rsid w:val="00A5297B"/>
    <w:rsid w:val="00A92879"/>
    <w:rsid w:val="00AF135E"/>
    <w:rsid w:val="00CA57AF"/>
    <w:rsid w:val="00D53BA0"/>
    <w:rsid w:val="00D7237F"/>
    <w:rsid w:val="00D84577"/>
    <w:rsid w:val="00E22B19"/>
    <w:rsid w:val="00F17C3B"/>
    <w:rsid w:val="00F74ADC"/>
    <w:rsid w:val="00FA0B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5BE1"/>
  <w15:chartTrackingRefBased/>
  <w15:docId w15:val="{366504CC-46BC-45B7-B756-D4DCF814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7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47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47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47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47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47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47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47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47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7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47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47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47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47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47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47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47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47D1"/>
    <w:rPr>
      <w:rFonts w:eastAsiaTheme="majorEastAsia" w:cstheme="majorBidi"/>
      <w:color w:val="272727" w:themeColor="text1" w:themeTint="D8"/>
    </w:rPr>
  </w:style>
  <w:style w:type="paragraph" w:styleId="Title">
    <w:name w:val="Title"/>
    <w:basedOn w:val="Normal"/>
    <w:next w:val="Normal"/>
    <w:link w:val="TitleChar"/>
    <w:uiPriority w:val="10"/>
    <w:qFormat/>
    <w:rsid w:val="003447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7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47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47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47D1"/>
    <w:pPr>
      <w:spacing w:before="160"/>
      <w:jc w:val="center"/>
    </w:pPr>
    <w:rPr>
      <w:i/>
      <w:iCs/>
      <w:color w:val="404040" w:themeColor="text1" w:themeTint="BF"/>
    </w:rPr>
  </w:style>
  <w:style w:type="character" w:customStyle="1" w:styleId="QuoteChar">
    <w:name w:val="Quote Char"/>
    <w:basedOn w:val="DefaultParagraphFont"/>
    <w:link w:val="Quote"/>
    <w:uiPriority w:val="29"/>
    <w:rsid w:val="003447D1"/>
    <w:rPr>
      <w:i/>
      <w:iCs/>
      <w:color w:val="404040" w:themeColor="text1" w:themeTint="BF"/>
    </w:rPr>
  </w:style>
  <w:style w:type="paragraph" w:styleId="ListParagraph">
    <w:name w:val="List Paragraph"/>
    <w:basedOn w:val="Normal"/>
    <w:uiPriority w:val="34"/>
    <w:qFormat/>
    <w:rsid w:val="003447D1"/>
    <w:pPr>
      <w:ind w:left="720"/>
      <w:contextualSpacing/>
    </w:pPr>
  </w:style>
  <w:style w:type="character" w:styleId="IntenseEmphasis">
    <w:name w:val="Intense Emphasis"/>
    <w:basedOn w:val="DefaultParagraphFont"/>
    <w:uiPriority w:val="21"/>
    <w:qFormat/>
    <w:rsid w:val="003447D1"/>
    <w:rPr>
      <w:i/>
      <w:iCs/>
      <w:color w:val="0F4761" w:themeColor="accent1" w:themeShade="BF"/>
    </w:rPr>
  </w:style>
  <w:style w:type="paragraph" w:styleId="IntenseQuote">
    <w:name w:val="Intense Quote"/>
    <w:basedOn w:val="Normal"/>
    <w:next w:val="Normal"/>
    <w:link w:val="IntenseQuoteChar"/>
    <w:uiPriority w:val="30"/>
    <w:qFormat/>
    <w:rsid w:val="003447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47D1"/>
    <w:rPr>
      <w:i/>
      <w:iCs/>
      <w:color w:val="0F4761" w:themeColor="accent1" w:themeShade="BF"/>
    </w:rPr>
  </w:style>
  <w:style w:type="character" w:styleId="IntenseReference">
    <w:name w:val="Intense Reference"/>
    <w:basedOn w:val="DefaultParagraphFont"/>
    <w:uiPriority w:val="32"/>
    <w:qFormat/>
    <w:rsid w:val="003447D1"/>
    <w:rPr>
      <w:b/>
      <w:bCs/>
      <w:smallCaps/>
      <w:color w:val="0F4761" w:themeColor="accent1" w:themeShade="BF"/>
      <w:spacing w:val="5"/>
    </w:rPr>
  </w:style>
  <w:style w:type="paragraph" w:styleId="NormalWeb">
    <w:name w:val="Normal (Web)"/>
    <w:basedOn w:val="Normal"/>
    <w:uiPriority w:val="99"/>
    <w:semiHidden/>
    <w:unhideWhenUsed/>
    <w:rsid w:val="00F17C3B"/>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A5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7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Mercer</dc:creator>
  <cp:keywords/>
  <dc:description/>
  <cp:lastModifiedBy>Ruth Mercer</cp:lastModifiedBy>
  <cp:revision>2</cp:revision>
  <dcterms:created xsi:type="dcterms:W3CDTF">2024-04-16T12:13:00Z</dcterms:created>
  <dcterms:modified xsi:type="dcterms:W3CDTF">2024-04-16T12:13:00Z</dcterms:modified>
</cp:coreProperties>
</file>